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2B0C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00" w:lineRule="exact"/>
        <w:textAlignment w:val="baseline"/>
        <w:rPr>
          <w:rFonts w:hint="default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附件1:</w:t>
      </w:r>
    </w:p>
    <w:p w14:paraId="4AC119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1A9724C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00" w:lineRule="exact"/>
        <w:jc w:val="center"/>
        <w:textAlignment w:val="baseline"/>
        <w:rPr>
          <w:rFonts w:hint="default" w:ascii="方正小标宋简体" w:hAnsi="方正小标宋简体" w:eastAsia="方正小标宋简体" w:cs="方正小标宋简体"/>
          <w:sz w:val="44"/>
          <w:szCs w:val="44"/>
          <w:highlight w:val="none"/>
          <w:lang w:val="en-US"/>
        </w:rPr>
      </w:pPr>
      <w:r>
        <w:rPr>
          <w:rFonts w:hint="eastAsia" w:ascii="华文中宋" w:hAnsi="华文中宋" w:eastAsia="华文中宋" w:cs="华文中宋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highlight w:val="none"/>
          <w:shd w:val="clear" w:fill="FFFFFF"/>
          <w:lang w:val="en-US" w:eastAsia="zh-CN"/>
        </w:rPr>
        <w:t>项目需求书</w:t>
      </w:r>
    </w:p>
    <w:p w14:paraId="7A8DD4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500" w:lineRule="exact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 w14:paraId="1201507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一、项目概况</w:t>
      </w:r>
    </w:p>
    <w:p w14:paraId="3105F0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3" w:firstLineChars="200"/>
        <w:textAlignment w:val="baseline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（一）项目名称</w:t>
      </w:r>
    </w:p>
    <w:p w14:paraId="1211822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华文中宋" w:hAnsi="华文中宋" w:eastAsia="华文中宋" w:cs="华文中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部分检验、病理项目外送检测服务</w:t>
      </w:r>
    </w:p>
    <w:p w14:paraId="19B8E3A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本项目所需服务具体涉及服务项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目及内容根据实际情况确定，采购预算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总金额为200万元/年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，服务期为1年（具体时间以合同签订为准）。</w:t>
      </w:r>
    </w:p>
    <w:p w14:paraId="3180E29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二、供应商服务项目及资格要求</w:t>
      </w:r>
    </w:p>
    <w:p w14:paraId="684554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3" w:firstLineChars="200"/>
        <w:textAlignment w:val="baseline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（一）服务项目</w:t>
      </w:r>
    </w:p>
    <w:p w14:paraId="1622586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医院临床需要但是暂未开展的检查、病理项目，详见附表2。</w:t>
      </w:r>
    </w:p>
    <w:p w14:paraId="3F3A7A1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3" w:firstLineChars="200"/>
        <w:textAlignment w:val="baseline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（二）供应商资格要求</w:t>
      </w:r>
    </w:p>
    <w:p w14:paraId="3BC58B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应具备《中华人民共和国政府采购法》第二十二条规定的条件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 w14:paraId="02291464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bidi w:val="0"/>
        <w:spacing w:before="0" w:beforeAutospacing="0" w:after="300" w:afterAutospacing="0" w:line="360" w:lineRule="auto"/>
        <w:ind w:left="0" w:right="0" w:firstLine="645"/>
        <w:jc w:val="left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2.供应商实验室资质</w:t>
      </w:r>
    </w:p>
    <w:p w14:paraId="73DA56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提供医疗机构执业许可证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和营业执照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复印件。                        </w:t>
      </w:r>
    </w:p>
    <w:p w14:paraId="387A61C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具有通过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广东省临床检验中心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临床基因扩增检验实验室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技术审核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合格证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，并提供技术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Hans"/>
        </w:rPr>
        <w:t>审核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格证书复印件。</w:t>
      </w:r>
    </w:p>
    <w:p w14:paraId="4054255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（3）具备二级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病原微生物实验室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资质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并提供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备案通知书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复印件。</w:t>
      </w:r>
    </w:p>
    <w:p w14:paraId="360164A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三、报价要求</w:t>
      </w:r>
    </w:p>
    <w:p w14:paraId="2B7AE7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CN"/>
        </w:rPr>
        <w:t>供应商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须按照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Hans"/>
        </w:rPr>
        <w:t>云浮市最新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Hans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Hans"/>
        </w:rPr>
        <w:t>基本医疗服务价格项目目录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eastAsia="zh-Hans"/>
        </w:rPr>
        <w:t>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，对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附表2项目明细表中的192个检验、病理项目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提供统一的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折扣率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报价，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折扣率不高于40%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医院每月委托检测服务费=各医疗服务项目的服务价格（物价标准）*折扣率*实际送检数量。</w:t>
      </w:r>
    </w:p>
    <w:p w14:paraId="7FC3CB2C">
      <w:pPr>
        <w:pStyle w:val="7"/>
        <w:keepNext w:val="0"/>
        <w:keepLines w:val="0"/>
        <w:pageBreakBefore w:val="0"/>
        <w:widowControl/>
        <w:suppressLineNumbers w:val="0"/>
        <w:wordWrap/>
        <w:overflowPunct/>
        <w:topLinePunct w:val="0"/>
        <w:bidi w:val="0"/>
        <w:spacing w:beforeAutospacing="0"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（二）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供应商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须具备开展附表2所列全部192项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检验、病理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项目的能力。如供应商存在任一项目无法承接的情况，将视为不符合本次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项目采购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的基本要求，其报价文件不予接受。</w:t>
      </w:r>
    </w:p>
    <w:p w14:paraId="1B27BC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lang w:val="en-US" w:eastAsia="zh-CN"/>
        </w:rPr>
        <w:t>（三）本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项目的报价应包含检验、病理项目的检验费用、标本接收保存运输费用、报告输出费用、耗材、取材工具、结果查询费用、人员费用、税费、资料费、含税发票等合同实施过程中的应预见和不可预见费用。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医院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不再另支付任何费用。</w:t>
      </w:r>
    </w:p>
    <w:p w14:paraId="2D3D86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四、服务要求</w:t>
      </w:r>
    </w:p>
    <w:p w14:paraId="7D6C56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3" w:firstLineChars="200"/>
        <w:textAlignment w:val="baseline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（一）服务要求</w:t>
      </w:r>
    </w:p>
    <w:p w14:paraId="0861638E"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overflowPunct/>
        <w:topLinePunct w:val="0"/>
        <w:bidi w:val="0"/>
        <w:spacing w:before="0" w:beforeAutospacing="0" w:after="300" w:afterAutospacing="0" w:line="360" w:lineRule="auto"/>
        <w:ind w:left="0" w:right="0" w:firstLine="645"/>
        <w:jc w:val="left"/>
        <w:textAlignment w:val="center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供应商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需安排专人每周一至周六定时前往医院收取标本，时间为8:30-17:30。遇特殊标本机动收取(具体情况由双方友好协商确定)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。若发生放假等变动收样时间的情况，供应商有义务主动通知医院。若发生特殊情况：如遇恶劣天气、车辆故障、交通事故等情况需调整工作安排的，应及时告知医院，并妥善处理确保医院外送标本的正常检测。</w:t>
      </w:r>
    </w:p>
    <w:p w14:paraId="0C42ECE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2.运输条件：提供专业冷链物流服务，温度监控功能，确保标本运输过程的安全及有效。</w:t>
      </w:r>
    </w:p>
    <w:p w14:paraId="1BC595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3.未经医院同意，不得将医院标本用于他用。</w:t>
      </w:r>
    </w:p>
    <w:p w14:paraId="360E4DA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4.供应商需向医院提特殊检验检查项目的相关耗材。</w:t>
      </w:r>
    </w:p>
    <w:p w14:paraId="7E1B38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5.为医院提供检验单补单服务。</w:t>
      </w:r>
    </w:p>
    <w:p w14:paraId="512660E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6.如医院突发仪器故障，供应商可提供临时外送标本服务，服务费用折扣率与报价折扣率一致。 </w:t>
      </w:r>
    </w:p>
    <w:p w14:paraId="0ADC862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7.在医院科研项目有检测需求时，可提供优惠或便利服务。</w:t>
      </w:r>
    </w:p>
    <w:p w14:paraId="3E86EF3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8.根据医院的项目设定单项检查项目和组合检查项目。</w:t>
      </w:r>
    </w:p>
    <w:p w14:paraId="13E4AE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9.在项目服务期间，医院有权根据业务发展和临床的需求对外检目录进行增减或修改，供应商应予以配合。</w:t>
      </w:r>
    </w:p>
    <w:p w14:paraId="5D8DA45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10.供应商仅是获得服务资格，医院无法预计也无法保证供应商固定的检验任务量，检验任务量以医院实际委托检验数量为准。</w:t>
      </w:r>
    </w:p>
    <w:p w14:paraId="1B98692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3" w:firstLineChars="200"/>
        <w:textAlignment w:val="baseline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（二）质量保障</w:t>
      </w:r>
    </w:p>
    <w:p w14:paraId="1D67B40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供应商需保证委托检验、病理项目检测质量，具备委托检验、病理项目的相应检测设备、技术人才，并有检验前、检验中、检验后质量保障措施。检验前质量保障措施包括标本采集要求培训，标本箱运送温度控制及安全性保障；检验中质量保障措施包括标准化的操作规范、室内质控、室间质评等；检验后质量保障措施包括异常结果处理流程、临床提出异议的检验报告处理流程等。</w:t>
      </w:r>
    </w:p>
    <w:p w14:paraId="6D322D5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2.供应商的实验室具有完善的质量管理体系，每年参加国家和省卫生健康委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临床检验中心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、省临检中心的质量控制和室间质评工作。因供应商实验室质量因素导致的医疗纠纷、事故等不良后果的，由此产生的赔偿责任由供应商承担。</w:t>
      </w:r>
    </w:p>
    <w:p w14:paraId="21E6FEA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3" w:firstLineChars="200"/>
        <w:textAlignment w:val="baseline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（三）标本接收送检要求</w:t>
      </w:r>
    </w:p>
    <w:p w14:paraId="6730E55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1.供应商具有规范的标本接收、登记和包装流程，保证标本质量和安全，确保标本顺利交接，方便查核。</w:t>
      </w:r>
    </w:p>
    <w:p w14:paraId="2E9291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2.供应商标本接收人员要通过严格培训，负责标本质量的初检、标识的核对，标本的接收登记及包装储存。</w:t>
      </w:r>
    </w:p>
    <w:p w14:paraId="700DBC6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3.供应商必须确保及时接收、送检标本和及时检验。标本不符合检验要求时，应及时通知医院重新取样。</w:t>
      </w:r>
    </w:p>
    <w:p w14:paraId="7EE0AF0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4.标本在送检过程中出现延迟、遗漏、丢失等情况，供应商应有完善的应急预案予以妥善解决，否则供应商应承担相应责任。</w:t>
      </w:r>
    </w:p>
    <w:p w14:paraId="538A3C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5.部分特殊检验、病理项目需要的采样器、知情同意书、专用申请单等由供应商提供。</w:t>
      </w:r>
    </w:p>
    <w:p w14:paraId="4CC0493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3" w:firstLineChars="200"/>
        <w:textAlignment w:val="baseline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（四）报告签发</w:t>
      </w:r>
    </w:p>
    <w:p w14:paraId="1C7A265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检验、病理报告单必须由具备相应资质的检验人员签发，上级检验师或医师复核。出现因检验、病理结果错误导致医院医疗纠纷等不良后果，责任由供应商承担。</w:t>
      </w:r>
    </w:p>
    <w:p w14:paraId="0CEBBCE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3" w:firstLineChars="200"/>
        <w:textAlignment w:val="baseline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（五）结果查询及咨询服务</w:t>
      </w:r>
    </w:p>
    <w:p w14:paraId="028E90A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1.供应商需提供服务电话、网络查询等多种渠道供业务咨询、报告查询、账单查询统计功能。</w:t>
      </w:r>
    </w:p>
    <w:p w14:paraId="24766F7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2.供应商需与医院信息系统对接，实现结果数据及报告单回传。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对接产生的一切费用由供应商承担。</w:t>
      </w:r>
    </w:p>
    <w:p w14:paraId="71EEBA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有专人电话跟进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危急值报告工作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，确保患者检测信息与临床医生的畅通。</w:t>
      </w:r>
    </w:p>
    <w:p w14:paraId="3C7E0DF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承诺的检测报告时间及时提供检测结果，医院急诊项目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Hans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优先检测。</w:t>
      </w:r>
    </w:p>
    <w:p w14:paraId="3EA15B1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五、结算方式</w:t>
      </w:r>
    </w:p>
    <w:p w14:paraId="3397628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（一）结算期限</w:t>
      </w:r>
    </w:p>
    <w:p w14:paraId="3AA96CA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 xml:space="preserve">服务费用每月结算一次。 </w:t>
      </w:r>
    </w:p>
    <w:p w14:paraId="19CF28C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3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highlight w:val="none"/>
          <w:lang w:val="en-US" w:eastAsia="zh-CN"/>
        </w:rPr>
        <w:t>（二）结算依据</w:t>
      </w:r>
    </w:p>
    <w:p w14:paraId="0AEAA5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Autospacing="0" w:line="360" w:lineRule="auto"/>
        <w:ind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snapToGrid w:val="0"/>
          <w:color w:val="000000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将上月对账清单交给采购人(含现场送达及电子送达)，采购人在收到对账清单后10个工作日内进行核对经核对无误的，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供应商开具正规发票与医院结算。合同期内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新增服务项目，结算折扣率与报价折扣率一致。</w:t>
      </w:r>
    </w:p>
    <w:p w14:paraId="3B8958B4">
      <w:pPr>
        <w:keepNext w:val="0"/>
        <w:keepLines w:val="0"/>
        <w:pageBreakBefore w:val="0"/>
        <w:wordWrap/>
        <w:overflowPunct/>
        <w:topLinePunct w:val="0"/>
        <w:bidi w:val="0"/>
        <w:spacing w:beforeAutospacing="0" w:line="500" w:lineRule="exact"/>
        <w:rPr>
          <w:rFonts w:hint="eastAsia"/>
          <w:highlight w:val="none"/>
        </w:rPr>
      </w:pPr>
    </w:p>
    <w:p w14:paraId="6CF9DB43">
      <w:pPr>
        <w:keepNext w:val="0"/>
        <w:keepLines w:val="0"/>
        <w:pageBreakBefore w:val="0"/>
        <w:wordWrap/>
        <w:overflowPunct/>
        <w:topLinePunct w:val="0"/>
        <w:bidi w:val="0"/>
        <w:spacing w:beforeAutospacing="0" w:line="500" w:lineRule="exact"/>
        <w:rPr>
          <w:rFonts w:hint="eastAsia"/>
          <w:highlight w:val="none"/>
        </w:rPr>
      </w:pPr>
    </w:p>
    <w:p w14:paraId="07D9AF77">
      <w:pPr>
        <w:keepNext w:val="0"/>
        <w:keepLines w:val="0"/>
        <w:pageBreakBefore w:val="0"/>
        <w:wordWrap/>
        <w:overflowPunct/>
        <w:topLinePunct w:val="0"/>
        <w:bidi w:val="0"/>
        <w:spacing w:beforeAutospacing="0" w:line="500" w:lineRule="exact"/>
        <w:rPr>
          <w:rFonts w:hint="eastAsia"/>
          <w:highlight w:val="none"/>
        </w:rPr>
      </w:pPr>
    </w:p>
    <w:p w14:paraId="414330D2">
      <w:pPr>
        <w:keepNext w:val="0"/>
        <w:keepLines w:val="0"/>
        <w:pageBreakBefore w:val="0"/>
        <w:wordWrap/>
        <w:overflowPunct/>
        <w:topLinePunct w:val="0"/>
        <w:bidi w:val="0"/>
        <w:spacing w:beforeAutospacing="0" w:line="500" w:lineRule="exact"/>
        <w:rPr>
          <w:rFonts w:hint="eastAsia"/>
          <w:highlight w:val="none"/>
        </w:rPr>
      </w:pPr>
    </w:p>
    <w:p w14:paraId="54ED77FC">
      <w:pPr>
        <w:keepNext w:val="0"/>
        <w:keepLines w:val="0"/>
        <w:pageBreakBefore w:val="0"/>
        <w:wordWrap/>
        <w:overflowPunct/>
        <w:topLinePunct w:val="0"/>
        <w:bidi w:val="0"/>
        <w:spacing w:beforeAutospacing="0" w:line="500" w:lineRule="exact"/>
        <w:rPr>
          <w:rFonts w:hint="eastAsia"/>
          <w:highlight w:val="none"/>
        </w:rPr>
      </w:pPr>
    </w:p>
    <w:p w14:paraId="3680E41D">
      <w:pPr>
        <w:keepNext w:val="0"/>
        <w:keepLines w:val="0"/>
        <w:pageBreakBefore w:val="0"/>
        <w:wordWrap/>
        <w:overflowPunct/>
        <w:topLinePunct w:val="0"/>
        <w:bidi w:val="0"/>
        <w:spacing w:beforeAutospacing="0" w:line="500" w:lineRule="exact"/>
        <w:rPr>
          <w:rFonts w:hint="eastAsia"/>
          <w:highlight w:val="none"/>
        </w:rPr>
      </w:pPr>
    </w:p>
    <w:p w14:paraId="1E2DEBA9">
      <w:pPr>
        <w:keepNext w:val="0"/>
        <w:keepLines w:val="0"/>
        <w:pageBreakBefore w:val="0"/>
        <w:wordWrap/>
        <w:overflowPunct/>
        <w:topLinePunct w:val="0"/>
        <w:bidi w:val="0"/>
        <w:spacing w:beforeAutospacing="0" w:line="500" w:lineRule="exact"/>
        <w:jc w:val="both"/>
        <w:rPr>
          <w:rFonts w:hint="eastAsia"/>
          <w:highlight w:val="none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85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584151-3B57-4A37-A813-A7E89C9845E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Open San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汉仪中圆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311676D-D3E7-4D77-B64E-4B2E783B6621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0D4B692C-B06F-4B9C-B6D6-B6C5EEE47A1C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EBA2C020-C570-4E20-B491-B3A849A4668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E538AD3A-C267-4DE1-90AF-C632FC6B4EB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7B42BA6F-DF47-4587-B2F1-576707C97EB4}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  <w:embedRegular r:id="rId7" w:fontKey="{562E97A1-69D9-402F-9DF7-F88380E4D03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9103B">
    <w:pPr>
      <w:spacing w:before="1" w:line="179" w:lineRule="auto"/>
      <w:ind w:left="3694"/>
      <w:rPr>
        <w:rFonts w:ascii="Lucida Sans Unicode" w:hAnsi="Lucida Sans Unicode" w:eastAsia="Lucida Sans Unicode" w:cs="Lucida Sans Unicode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C2A713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BC2A713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10DAEC">
    <w:pPr>
      <w:pStyle w:val="27"/>
      <w:spacing w:line="360" w:lineRule="auto"/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9088BA"/>
    <w:multiLevelType w:val="singleLevel"/>
    <w:tmpl w:val="469088BA"/>
    <w:lvl w:ilvl="0" w:tentative="0">
      <w:start w:val="1"/>
      <w:numFmt w:val="chineseCounting"/>
      <w:pStyle w:val="14"/>
      <w:suff w:val="nothing"/>
      <w:lvlText w:val="（%1）"/>
      <w:lvlJc w:val="left"/>
      <w:rPr>
        <w:rFonts w:hint="eastAsia"/>
        <w:b/>
        <w:bCs/>
        <w:sz w:val="18"/>
        <w:szCs w:val="18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zRmOTA3N2FlY2NiOWJjNTVlMGUyY2M5ODM1ZWIzNzgifQ=="/>
  </w:docVars>
  <w:rsids>
    <w:rsidRoot w:val="00172A27"/>
    <w:rsid w:val="01B65389"/>
    <w:rsid w:val="01E943A0"/>
    <w:rsid w:val="031B2C7F"/>
    <w:rsid w:val="0390500A"/>
    <w:rsid w:val="08664BD9"/>
    <w:rsid w:val="08EC29C7"/>
    <w:rsid w:val="09EE4050"/>
    <w:rsid w:val="0A481E7F"/>
    <w:rsid w:val="0C3F3DF7"/>
    <w:rsid w:val="0C9E222B"/>
    <w:rsid w:val="0E975461"/>
    <w:rsid w:val="0F492922"/>
    <w:rsid w:val="128471F9"/>
    <w:rsid w:val="13370CE3"/>
    <w:rsid w:val="13900B69"/>
    <w:rsid w:val="1D691539"/>
    <w:rsid w:val="1E09193B"/>
    <w:rsid w:val="1F9574BD"/>
    <w:rsid w:val="21FE57EE"/>
    <w:rsid w:val="22405E06"/>
    <w:rsid w:val="2273037D"/>
    <w:rsid w:val="22CB353B"/>
    <w:rsid w:val="23C6058D"/>
    <w:rsid w:val="24373239"/>
    <w:rsid w:val="24E707BB"/>
    <w:rsid w:val="28E514B5"/>
    <w:rsid w:val="2B08765C"/>
    <w:rsid w:val="2D7E3C87"/>
    <w:rsid w:val="330864CC"/>
    <w:rsid w:val="33395C1D"/>
    <w:rsid w:val="34BF705E"/>
    <w:rsid w:val="355E7535"/>
    <w:rsid w:val="362D624A"/>
    <w:rsid w:val="3A543DA5"/>
    <w:rsid w:val="3B5A363D"/>
    <w:rsid w:val="3FB47094"/>
    <w:rsid w:val="408B5DF3"/>
    <w:rsid w:val="40EA5463"/>
    <w:rsid w:val="41D55FCC"/>
    <w:rsid w:val="427F2248"/>
    <w:rsid w:val="433B01F8"/>
    <w:rsid w:val="46083261"/>
    <w:rsid w:val="47C45506"/>
    <w:rsid w:val="4A402D2F"/>
    <w:rsid w:val="4BB46D99"/>
    <w:rsid w:val="4DC82AE8"/>
    <w:rsid w:val="50146722"/>
    <w:rsid w:val="50B73A16"/>
    <w:rsid w:val="543C16DA"/>
    <w:rsid w:val="56697ABD"/>
    <w:rsid w:val="56F75D8C"/>
    <w:rsid w:val="5DE05293"/>
    <w:rsid w:val="5EEA7DA2"/>
    <w:rsid w:val="5FD01870"/>
    <w:rsid w:val="60A2320D"/>
    <w:rsid w:val="60CD2A41"/>
    <w:rsid w:val="61277CD6"/>
    <w:rsid w:val="621B48CD"/>
    <w:rsid w:val="6312637B"/>
    <w:rsid w:val="658811DA"/>
    <w:rsid w:val="695F683E"/>
    <w:rsid w:val="69D21C4E"/>
    <w:rsid w:val="6C235A73"/>
    <w:rsid w:val="6C605B7E"/>
    <w:rsid w:val="6C8374F0"/>
    <w:rsid w:val="6F3129C4"/>
    <w:rsid w:val="6FC508F5"/>
    <w:rsid w:val="70A46B2D"/>
    <w:rsid w:val="727F572A"/>
    <w:rsid w:val="7307001D"/>
    <w:rsid w:val="74CC6652"/>
    <w:rsid w:val="75364395"/>
    <w:rsid w:val="77030CAD"/>
    <w:rsid w:val="779C230C"/>
    <w:rsid w:val="79A656C4"/>
    <w:rsid w:val="7DBF4FA6"/>
    <w:rsid w:val="7E425FDC"/>
    <w:rsid w:val="7F8D69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Arial" w:hAnsi="Arial"/>
      <w:sz w:val="24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8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0"/>
    <w:rPr>
      <w:rFonts w:hint="default" w:ascii="Open Sans" w:hAnsi="Open Sans" w:eastAsia="Open Sans" w:cs="Open Sans"/>
      <w:color w:val="428BCA"/>
      <w:sz w:val="24"/>
      <w:szCs w:val="24"/>
    </w:rPr>
  </w:style>
  <w:style w:type="table" w:customStyle="1" w:styleId="13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样式1"/>
    <w:basedOn w:val="6"/>
    <w:qFormat/>
    <w:uiPriority w:val="0"/>
    <w:pPr>
      <w:numPr>
        <w:ilvl w:val="0"/>
        <w:numId w:val="1"/>
      </w:numPr>
      <w:spacing w:before="148" w:line="360" w:lineRule="auto"/>
      <w:outlineLvl w:val="0"/>
    </w:pPr>
    <w:rPr>
      <w:rFonts w:hint="eastAsia" w:ascii="宋体" w:hAnsi="宋体" w:eastAsia="宋体" w:cs="宋体"/>
      <w:spacing w:val="5"/>
      <w:sz w:val="32"/>
      <w:szCs w:val="20"/>
      <w:lang w:val="en-US" w:eastAsia="zh-CN"/>
    </w:rPr>
  </w:style>
  <w:style w:type="paragraph" w:customStyle="1" w:styleId="15">
    <w:name w:val="稻壳 标题 1"/>
    <w:basedOn w:val="1"/>
    <w:qFormat/>
    <w:uiPriority w:val="0"/>
    <w:pPr>
      <w:snapToGrid/>
      <w:spacing w:before="480" w:line="276" w:lineRule="auto"/>
    </w:pPr>
    <w:rPr>
      <w:rFonts w:ascii="Arial" w:eastAsia="汉仪中圆简"/>
      <w:color w:val="auto"/>
      <w:sz w:val="36"/>
    </w:rPr>
  </w:style>
  <w:style w:type="paragraph" w:customStyle="1" w:styleId="16">
    <w:name w:val="稻壳 标题 3"/>
    <w:basedOn w:val="1"/>
    <w:qFormat/>
    <w:uiPriority w:val="0"/>
    <w:pPr>
      <w:snapToGrid/>
      <w:spacing w:before="160" w:line="276" w:lineRule="auto"/>
    </w:pPr>
    <w:rPr>
      <w:rFonts w:ascii="Arial" w:eastAsia="汉仪中圆简"/>
      <w:color w:val="auto"/>
      <w:sz w:val="26"/>
    </w:rPr>
  </w:style>
  <w:style w:type="paragraph" w:customStyle="1" w:styleId="17">
    <w:name w:val="稻壳 标题 2"/>
    <w:basedOn w:val="1"/>
    <w:qFormat/>
    <w:uiPriority w:val="0"/>
    <w:pPr>
      <w:snapToGrid/>
      <w:spacing w:before="200" w:line="276" w:lineRule="auto"/>
    </w:pPr>
    <w:rPr>
      <w:rFonts w:ascii="Arial" w:eastAsia="汉仪中圆简"/>
      <w:color w:val="auto"/>
      <w:sz w:val="30"/>
    </w:rPr>
  </w:style>
  <w:style w:type="paragraph" w:customStyle="1" w:styleId="18">
    <w:name w:val="稻壳 标题 4"/>
    <w:basedOn w:val="1"/>
    <w:qFormat/>
    <w:uiPriority w:val="0"/>
    <w:pPr>
      <w:snapToGrid/>
      <w:spacing w:before="120" w:line="276" w:lineRule="auto"/>
    </w:pPr>
    <w:rPr>
      <w:rFonts w:ascii="Arial" w:eastAsia="汉仪中圆简"/>
      <w:color w:val="auto"/>
      <w:sz w:val="24"/>
    </w:rPr>
  </w:style>
  <w:style w:type="paragraph" w:customStyle="1" w:styleId="19">
    <w:name w:val="稻壳 标题"/>
    <w:basedOn w:val="1"/>
    <w:qFormat/>
    <w:uiPriority w:val="0"/>
    <w:pPr>
      <w:snapToGrid/>
      <w:spacing w:after="240"/>
      <w:jc w:val="center"/>
    </w:pPr>
    <w:rPr>
      <w:rFonts w:ascii="Arial" w:eastAsia="汉仪中圆简"/>
      <w:color w:val="auto"/>
      <w:sz w:val="60"/>
    </w:rPr>
  </w:style>
  <w:style w:type="paragraph" w:customStyle="1" w:styleId="20">
    <w:name w:val="稻壳 正文"/>
    <w:basedOn w:val="1"/>
    <w:qFormat/>
    <w:uiPriority w:val="0"/>
    <w:pPr>
      <w:snapToGrid/>
      <w:spacing w:after="80" w:line="360" w:lineRule="auto"/>
      <w:ind w:firstLine="482"/>
    </w:pPr>
    <w:rPr>
      <w:rFonts w:ascii="Arial" w:eastAsia="汉仪中圆简"/>
      <w:color w:val="auto"/>
      <w:sz w:val="24"/>
    </w:rPr>
  </w:style>
  <w:style w:type="paragraph" w:customStyle="1" w:styleId="21">
    <w:name w:val="稻壳 题注"/>
    <w:basedOn w:val="1"/>
    <w:qFormat/>
    <w:uiPriority w:val="0"/>
    <w:pPr>
      <w:snapToGrid/>
      <w:spacing w:after="80" w:line="360" w:lineRule="auto"/>
      <w:jc w:val="center"/>
    </w:pPr>
    <w:rPr>
      <w:rFonts w:ascii="Arial" w:eastAsia="汉仪中圆简"/>
      <w:color w:val="auto"/>
      <w:sz w:val="24"/>
    </w:rPr>
  </w:style>
  <w:style w:type="paragraph" w:customStyle="1" w:styleId="22">
    <w:name w:val="稻壳 目录标题"/>
    <w:basedOn w:val="1"/>
    <w:qFormat/>
    <w:uiPriority w:val="0"/>
    <w:pPr>
      <w:snapToGrid/>
      <w:spacing w:before="480" w:line="276" w:lineRule="auto"/>
      <w:jc w:val="center"/>
    </w:pPr>
    <w:rPr>
      <w:rFonts w:ascii="Arial" w:eastAsia="汉仪中圆简"/>
      <w:color w:val="auto"/>
      <w:sz w:val="36"/>
    </w:rPr>
  </w:style>
  <w:style w:type="paragraph" w:customStyle="1" w:styleId="23">
    <w:name w:val="稻壳 目录 1"/>
    <w:basedOn w:val="1"/>
    <w:qFormat/>
    <w:uiPriority w:val="0"/>
    <w:pPr>
      <w:spacing w:after="200" w:line="276" w:lineRule="auto"/>
    </w:pPr>
    <w:rPr>
      <w:rFonts w:ascii="Arial" w:eastAsia="汉仪中圆简"/>
      <w:color w:val="auto"/>
      <w:sz w:val="22"/>
    </w:rPr>
  </w:style>
  <w:style w:type="paragraph" w:customStyle="1" w:styleId="24">
    <w:name w:val="稻壳 目录 3"/>
    <w:basedOn w:val="1"/>
    <w:qFormat/>
    <w:uiPriority w:val="0"/>
    <w:pPr>
      <w:spacing w:after="200" w:line="276" w:lineRule="auto"/>
      <w:ind w:left="840" w:leftChars="400"/>
    </w:pPr>
    <w:rPr>
      <w:rFonts w:ascii="Arial" w:eastAsia="汉仪中圆简"/>
      <w:color w:val="auto"/>
      <w:sz w:val="22"/>
    </w:rPr>
  </w:style>
  <w:style w:type="paragraph" w:customStyle="1" w:styleId="25">
    <w:name w:val="稻壳 目录 2"/>
    <w:basedOn w:val="1"/>
    <w:qFormat/>
    <w:uiPriority w:val="0"/>
    <w:pPr>
      <w:spacing w:after="200" w:line="276" w:lineRule="auto"/>
      <w:ind w:left="420" w:leftChars="200"/>
    </w:pPr>
    <w:rPr>
      <w:rFonts w:ascii="Arial" w:eastAsia="汉仪中圆简"/>
      <w:color w:val="auto"/>
      <w:sz w:val="22"/>
    </w:rPr>
  </w:style>
  <w:style w:type="paragraph" w:customStyle="1" w:styleId="26">
    <w:name w:val="稻壳 目录 4"/>
    <w:basedOn w:val="1"/>
    <w:qFormat/>
    <w:uiPriority w:val="0"/>
    <w:pPr>
      <w:spacing w:after="200" w:line="276" w:lineRule="auto"/>
      <w:ind w:left="1260" w:leftChars="600"/>
    </w:pPr>
    <w:rPr>
      <w:rFonts w:ascii="Arial" w:eastAsia="汉仪中圆简"/>
      <w:color w:val="auto"/>
      <w:sz w:val="22"/>
    </w:rPr>
  </w:style>
  <w:style w:type="paragraph" w:customStyle="1" w:styleId="27">
    <w:name w:val="样式 标题 + 四号 两端对齐 首行缩进:  9.9 字符 右  -5.4 字符"/>
    <w:basedOn w:val="8"/>
    <w:qFormat/>
    <w:uiPriority w:val="99"/>
    <w:pPr>
      <w:spacing w:before="120" w:after="120"/>
    </w:pPr>
    <w:rPr>
      <w:rFonts w:ascii="Arial" w:hAnsi="Arial" w:cs="Arial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1946</Words>
  <Characters>1989</Characters>
  <Lines>1</Lines>
  <Paragraphs>1</Paragraphs>
  <TotalTime>31</TotalTime>
  <ScaleCrop>false</ScaleCrop>
  <LinksUpToDate>false</LinksUpToDate>
  <CharactersWithSpaces>2015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2023-01-31T17:45:00Z</dcterms:created>
  <dc:creator>15382</dc:creator>
  <cp:lastModifiedBy>浩子</cp:lastModifiedBy>
  <dcterms:modified xsi:type="dcterms:W3CDTF">2025-08-14T09:34:48Z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2023-05-17T05:37:00Z</vt:filetime>
  </property>
  <property fmtid="{D5CDD505-2E9C-101B-9397-08002B2CF9AE}" pid="4" name="KSOProductBuildVer">
    <vt:lpwstr>2052-12.1.0.22215</vt:lpwstr>
  </property>
  <property fmtid="{D5CDD505-2E9C-101B-9397-08002B2CF9AE}" pid="5" name="ICV">
    <vt:lpwstr>F2533CC87B81458FBDCDC462FA30F972_13</vt:lpwstr>
  </property>
  <property fmtid="{D5CDD505-2E9C-101B-9397-08002B2CF9AE}" pid="6" name="KSOTemplateDocerSaveRecord">
    <vt:lpwstr>eyJoZGlkIjoiNzljNTEzNzE0ODgxODEzMzZkYmMxYzg3YTFjNTgwNTQiLCJ1c2VySWQiOiIyMzI5Njg5NjgifQ==</vt:lpwstr>
  </property>
</Properties>
</file>